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Style w:val="TableGrid"/>
        <w:tblW w:w="9005" w:type="dxa"/>
        <w:tblLayout w:type="fixed"/>
        <w:tblLook w:val="06A0" w:firstRow="1" w:lastRow="0" w:firstColumn="1" w:lastColumn="0" w:noHBand="1" w:noVBand="1"/>
      </w:tblPr>
      <w:tblGrid>
        <w:gridCol w:w="9005"/>
      </w:tblGrid>
      <w:tr w:rsidR="2AD6E99E" w:rsidTr="3C3D8861" w14:paraId="5C501F87" w14:textId="77777777">
        <w:trPr>
          <w:trHeight w:val="300"/>
        </w:trPr>
        <w:tc>
          <w:tcPr>
            <w:tcW w:w="9005" w:type="dxa"/>
            <w:tcMar/>
          </w:tcPr>
          <w:p w:rsidR="583B8D1C" w:rsidP="2AD6E99E" w:rsidRDefault="583B8D1C" w14:paraId="04236269" w14:textId="0C302B95">
            <w:r w:rsidRPr="3C3D8861" w:rsidR="087C049B">
              <w:rPr>
                <w:b w:val="1"/>
                <w:bCs w:val="1"/>
              </w:rPr>
              <w:t>Subject:</w:t>
            </w:r>
            <w:r w:rsidR="087C049B">
              <w:rPr/>
              <w:t xml:space="preserve"> </w:t>
            </w:r>
            <w:r w:rsidRPr="3C3D8861" w:rsidR="5E4E2520">
              <w:rPr>
                <w:b w:val="1"/>
                <w:bCs w:val="1"/>
              </w:rPr>
              <w:t>Health</w:t>
            </w:r>
            <w:r w:rsidRPr="3C3D8861" w:rsidR="5E4E2520">
              <w:rPr>
                <w:b w:val="1"/>
                <w:bCs w:val="1"/>
              </w:rPr>
              <w:t xml:space="preserve"> and Social Care</w:t>
            </w:r>
          </w:p>
        </w:tc>
      </w:tr>
      <w:tr w:rsidR="2AD6E99E" w:rsidTr="3C3D8861" w14:paraId="3D3BFC7D" w14:textId="77777777">
        <w:trPr>
          <w:trHeight w:val="300"/>
        </w:trPr>
        <w:tc>
          <w:tcPr>
            <w:tcW w:w="9005" w:type="dxa"/>
            <w:shd w:val="clear" w:color="auto" w:fill="E7E6E6" w:themeFill="background2"/>
            <w:tcMar/>
          </w:tcPr>
          <w:p w:rsidR="2AD6E99E" w:rsidP="0CED7E62" w:rsidRDefault="7632E4E6" w14:paraId="6BAF92B8" w14:textId="2FEA3690">
            <w:pPr>
              <w:rPr>
                <w:b/>
                <w:bCs/>
              </w:rPr>
            </w:pPr>
            <w:r w:rsidRPr="0CED7E62">
              <w:rPr>
                <w:b/>
                <w:bCs/>
              </w:rPr>
              <w:t>Task:</w:t>
            </w:r>
          </w:p>
        </w:tc>
      </w:tr>
      <w:tr w:rsidR="002C0356" w:rsidTr="3C3D8861" w14:paraId="66AD59E8" w14:textId="77777777">
        <w:trPr>
          <w:trHeight w:val="300"/>
        </w:trPr>
        <w:tc>
          <w:tcPr>
            <w:tcW w:w="9005" w:type="dxa"/>
            <w:shd w:val="clear" w:color="auto" w:fill="auto"/>
            <w:tcMar/>
          </w:tcPr>
          <w:p w:rsidRPr="0CED7E62" w:rsidR="002C0356" w:rsidP="1561B188" w:rsidRDefault="002C0356" w14:paraId="528C2D29" w14:textId="23F8C16E">
            <w:pPr>
              <w:pStyle w:val="Normal"/>
              <w:suppressLineNumbers w:val="0"/>
              <w:bidi w:val="0"/>
              <w:spacing w:before="0" w:beforeAutospacing="off" w:after="0" w:afterAutospacing="off" w:line="259" w:lineRule="auto"/>
              <w:ind w:left="0" w:right="0"/>
              <w:jc w:val="left"/>
              <w:rPr>
                <w:b w:val="1"/>
                <w:bCs w:val="1"/>
              </w:rPr>
            </w:pPr>
            <w:r w:rsidRPr="3C3D8861" w:rsidR="1D19C05D">
              <w:rPr>
                <w:b w:val="1"/>
                <w:bCs w:val="1"/>
              </w:rPr>
              <w:t>Complete the health and social care booklet focusing on case studies and 4 key exam questions.</w:t>
            </w:r>
          </w:p>
        </w:tc>
      </w:tr>
      <w:tr w:rsidR="2AD6E99E" w:rsidTr="3C3D8861" w14:paraId="61C2F101" w14:textId="77777777">
        <w:trPr>
          <w:trHeight w:val="300"/>
        </w:trPr>
        <w:tc>
          <w:tcPr>
            <w:tcW w:w="9005" w:type="dxa"/>
            <w:shd w:val="clear" w:color="auto" w:fill="E7E6E6" w:themeFill="background2"/>
            <w:tcMar/>
          </w:tcPr>
          <w:p w:rsidR="11F108D8" w:rsidP="0CED7E62" w:rsidRDefault="11F108D8" w14:paraId="0CBB5A8F" w14:textId="1459FF76">
            <w:pPr>
              <w:rPr>
                <w:b w:val="1"/>
                <w:bCs w:val="1"/>
              </w:rPr>
            </w:pPr>
            <w:r w:rsidRPr="3C3D8861" w:rsidR="11F108D8">
              <w:rPr>
                <w:b w:val="1"/>
                <w:bCs w:val="1"/>
              </w:rPr>
              <w:t>Why is this required for September?</w:t>
            </w:r>
          </w:p>
        </w:tc>
      </w:tr>
      <w:tr w:rsidR="0CED7E62" w:rsidTr="3C3D8861" w14:paraId="1D617841" w14:textId="77777777">
        <w:trPr>
          <w:trHeight w:val="300"/>
        </w:trPr>
        <w:tc>
          <w:tcPr>
            <w:tcW w:w="9005" w:type="dxa"/>
            <w:tcMar/>
          </w:tcPr>
          <w:p w:rsidR="0CED7E62" w:rsidP="3C3D8861" w:rsidRDefault="0CED7E62" w14:paraId="666F8F7C" w14:textId="22DABFCB">
            <w:pPr>
              <w:spacing w:before="240" w:beforeAutospacing="off" w:after="240" w:afterAutospacing="of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pPr>
            <w:r w:rsidRPr="3C3D8861" w:rsidR="7A261E8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The 2 exams which you complete at the end of Y12 are based on application to case studies and you developing </w:t>
            </w:r>
            <w:r w:rsidRPr="3C3D8861" w:rsidR="7A261E8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you</w:t>
            </w:r>
            <w:r w:rsidRPr="3C3D8861" w:rsidR="0431301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r</w:t>
            </w:r>
            <w:r w:rsidRPr="3C3D8861" w:rsidR="7A261E86">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 ability to apply new theories to these. </w:t>
            </w:r>
          </w:p>
          <w:p w:rsidR="0CED7E62" w:rsidP="3C3D8861" w:rsidRDefault="0CED7E62" w14:paraId="5C0BA8C6" w14:textId="129C45C2">
            <w:pPr>
              <w:pStyle w:val="Normal"/>
              <w:spacing w:before="240" w:beforeAutospacing="off" w:after="240" w:afterAutospacing="off"/>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pPr>
            <w:r w:rsidRPr="3C3D8861" w:rsidR="53A30D73">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For your coursework units you will be expected to complete your own research from credible </w:t>
            </w:r>
            <w:r w:rsidRPr="3C3D8861" w:rsidR="53A30D73">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sources</w:t>
            </w:r>
            <w:r w:rsidRPr="3C3D8861" w:rsidR="53A30D73">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 so we are wanting to see how you approach research. </w:t>
            </w:r>
          </w:p>
        </w:tc>
      </w:tr>
      <w:tr w:rsidR="2AD6E99E" w:rsidTr="3C3D8861" w14:paraId="5CE1B400" w14:textId="77777777">
        <w:trPr>
          <w:trHeight w:val="300"/>
        </w:trPr>
        <w:tc>
          <w:tcPr>
            <w:tcW w:w="9005" w:type="dxa"/>
            <w:shd w:val="clear" w:color="auto" w:fill="E7E6E6" w:themeFill="background2"/>
            <w:tcMar/>
          </w:tcPr>
          <w:p w:rsidR="2AD6E99E" w:rsidP="0CED7E62" w:rsidRDefault="2D6AA5F8" w14:paraId="448196C4" w14:textId="6B8FCB55">
            <w:pPr>
              <w:rPr>
                <w:b/>
                <w:bCs/>
              </w:rPr>
            </w:pPr>
            <w:r w:rsidRPr="0CED7E62">
              <w:rPr>
                <w:b/>
                <w:bCs/>
              </w:rPr>
              <w:t xml:space="preserve">What </w:t>
            </w:r>
            <w:r w:rsidRPr="0CED7E62" w:rsidR="2EAB9F0C">
              <w:rPr>
                <w:b/>
                <w:bCs/>
              </w:rPr>
              <w:t>Assessment/</w:t>
            </w:r>
            <w:r w:rsidRPr="0CED7E62">
              <w:rPr>
                <w:b/>
                <w:bCs/>
              </w:rPr>
              <w:t>Feedback should you expect?</w:t>
            </w:r>
          </w:p>
        </w:tc>
      </w:tr>
      <w:tr w:rsidR="2AD6E99E" w:rsidTr="3C3D8861" w14:paraId="6CFE79A3" w14:textId="77777777">
        <w:trPr>
          <w:trHeight w:val="300"/>
        </w:trPr>
        <w:tc>
          <w:tcPr>
            <w:tcW w:w="9005" w:type="dxa"/>
            <w:tcMar/>
          </w:tcPr>
          <w:p w:rsidR="2AD6E99E" w:rsidP="1561B188" w:rsidRDefault="2AD6E99E" w14:paraId="4DAACE4E" w14:textId="5F5D655F">
            <w:pPr>
              <w:pStyle w:val="Normal"/>
              <w:rPr>
                <w:b w:val="1"/>
                <w:bCs w:val="1"/>
              </w:rPr>
            </w:pPr>
            <w:r w:rsidRPr="3C3D8861" w:rsidR="46D5E0AB">
              <w:rPr>
                <w:b w:val="1"/>
                <w:bCs w:val="1"/>
              </w:rPr>
              <w:t xml:space="preserve">You should expect </w:t>
            </w:r>
            <w:r w:rsidRPr="3C3D8861" w:rsidR="46D5E0AB">
              <w:rPr>
                <w:b w:val="1"/>
                <w:bCs w:val="1"/>
              </w:rPr>
              <w:t>whole</w:t>
            </w:r>
            <w:r w:rsidRPr="3C3D8861" w:rsidR="46D5E0AB">
              <w:rPr>
                <w:b w:val="1"/>
                <w:bCs w:val="1"/>
              </w:rPr>
              <w:t xml:space="preserve"> </w:t>
            </w:r>
            <w:r w:rsidRPr="3C3D8861" w:rsidR="46D5E0AB">
              <w:rPr>
                <w:b w:val="1"/>
                <w:bCs w:val="1"/>
              </w:rPr>
              <w:t>class</w:t>
            </w:r>
            <w:r w:rsidRPr="3C3D8861" w:rsidR="46D5E0AB">
              <w:rPr>
                <w:b w:val="1"/>
                <w:bCs w:val="1"/>
              </w:rPr>
              <w:t xml:space="preserve"> feedback on each of the questions so that you are clear about ways to improve </w:t>
            </w:r>
            <w:r w:rsidRPr="3C3D8861" w:rsidR="46D5E0AB">
              <w:rPr>
                <w:b w:val="1"/>
                <w:bCs w:val="1"/>
              </w:rPr>
              <w:t>you</w:t>
            </w:r>
            <w:r w:rsidRPr="3C3D8861" w:rsidR="5275869F">
              <w:rPr>
                <w:b w:val="1"/>
                <w:bCs w:val="1"/>
              </w:rPr>
              <w:t>r</w:t>
            </w:r>
            <w:r w:rsidRPr="3C3D8861" w:rsidR="46D5E0AB">
              <w:rPr>
                <w:b w:val="1"/>
                <w:bCs w:val="1"/>
              </w:rPr>
              <w:t xml:space="preserve"> application skills. </w:t>
            </w:r>
          </w:p>
        </w:tc>
      </w:tr>
      <w:tr w:rsidR="0CED7E62" w:rsidTr="3C3D8861" w14:paraId="21E3770B" w14:textId="77777777">
        <w:trPr>
          <w:trHeight w:val="300"/>
        </w:trPr>
        <w:tc>
          <w:tcPr>
            <w:tcW w:w="9005" w:type="dxa"/>
            <w:shd w:val="clear" w:color="auto" w:fill="E7E6E6" w:themeFill="background2"/>
            <w:tcMar/>
          </w:tcPr>
          <w:p w:rsidR="23B7168D" w:rsidP="0CED7E62" w:rsidRDefault="23B7168D" w14:paraId="1047B150" w14:textId="1404C110">
            <w:pPr>
              <w:rPr>
                <w:b/>
                <w:bCs/>
              </w:rPr>
            </w:pPr>
            <w:r w:rsidRPr="0CED7E62">
              <w:rPr>
                <w:b/>
                <w:bCs/>
              </w:rPr>
              <w:t>Time this task (s) should take:</w:t>
            </w:r>
          </w:p>
        </w:tc>
      </w:tr>
      <w:tr w:rsidR="0CED7E62" w:rsidTr="3C3D8861" w14:paraId="3F532B37" w14:textId="77777777">
        <w:trPr>
          <w:trHeight w:val="300"/>
        </w:trPr>
        <w:tc>
          <w:tcPr>
            <w:tcW w:w="9005" w:type="dxa"/>
            <w:tcMar/>
          </w:tcPr>
          <w:p w:rsidR="0CED7E62" w:rsidP="1561B188" w:rsidRDefault="4A48F89B" w14:paraId="1F0C63A4" w14:textId="3A5FCFCC">
            <w:pPr>
              <w:rPr>
                <w:b w:val="1"/>
                <w:bCs w:val="1"/>
              </w:rPr>
            </w:pPr>
            <w:r w:rsidRPr="3C3D8861" w:rsidR="45FD42A7">
              <w:rPr>
                <w:b w:val="1"/>
                <w:bCs w:val="1"/>
              </w:rPr>
              <w:t xml:space="preserve"> </w:t>
            </w:r>
            <w:r w:rsidRPr="3C3D8861" w:rsidR="6807A034">
              <w:rPr>
                <w:b w:val="1"/>
                <w:bCs w:val="1"/>
              </w:rPr>
              <w:t>Minimum 2-3 hours</w:t>
            </w:r>
          </w:p>
        </w:tc>
      </w:tr>
      <w:tr w:rsidR="0CED7E62" w:rsidTr="3C3D8861" w14:paraId="3384049D" w14:textId="77777777">
        <w:trPr>
          <w:trHeight w:val="300"/>
        </w:trPr>
        <w:tc>
          <w:tcPr>
            <w:tcW w:w="9005" w:type="dxa"/>
            <w:shd w:val="clear" w:color="auto" w:fill="E7E6E6" w:themeFill="background2"/>
            <w:tcMar/>
          </w:tcPr>
          <w:p w:rsidR="23B7168D" w:rsidP="1561B188" w:rsidRDefault="23B7168D" w14:paraId="76DE38BE" w14:textId="73B5A4D6">
            <w:pPr>
              <w:rPr>
                <w:b w:val="1"/>
                <w:bCs w:val="1"/>
              </w:rPr>
            </w:pPr>
            <w:r w:rsidRPr="1561B188" w:rsidR="1834B48B">
              <w:rPr>
                <w:b w:val="1"/>
                <w:bCs w:val="1"/>
              </w:rPr>
              <w:t>Suggested links or other resources to support:</w:t>
            </w:r>
          </w:p>
        </w:tc>
        <w:bookmarkStart w:name="_GoBack" w:id="0"/>
        <w:bookmarkEnd w:id="0"/>
      </w:tr>
      <w:tr w:rsidR="0CED7E62" w:rsidTr="3C3D8861" w14:paraId="02E0E121" w14:textId="77777777">
        <w:trPr>
          <w:trHeight w:val="300"/>
        </w:trPr>
        <w:tc>
          <w:tcPr>
            <w:tcW w:w="9005" w:type="dxa"/>
            <w:tcMar/>
          </w:tcPr>
          <w:p w:rsidR="299B6B34" w:rsidP="3C3D8861" w:rsidRDefault="299B6B34" w14:paraId="63CA7652" w14:textId="176B603B">
            <w:pPr>
              <w:rPr>
                <w:rFonts w:ascii="Calibri" w:hAnsi="Calibri" w:eastAsia="Calibri" w:cs="Calibri"/>
                <w:b w:val="0"/>
                <w:bCs w:val="0"/>
                <w:i w:val="0"/>
                <w:iCs w:val="0"/>
                <w:caps w:val="0"/>
                <w:smallCaps w:val="0"/>
                <w:noProof w:val="0"/>
                <w:color w:val="000000" w:themeColor="text1" w:themeTint="FF" w:themeShade="FF"/>
                <w:sz w:val="24"/>
                <w:szCs w:val="24"/>
                <w:lang w:val="en-US"/>
              </w:rPr>
            </w:pPr>
            <w:hyperlink r:id="R4fce629869d74bc7">
              <w:r w:rsidRPr="3C3D8861" w:rsidR="33633949">
                <w:rPr>
                  <w:rStyle w:val="Hyperlink"/>
                  <w:rFonts w:ascii="Calibri" w:hAnsi="Calibri" w:eastAsia="Calibri" w:cs="Calibri"/>
                  <w:b w:val="0"/>
                  <w:bCs w:val="0"/>
                  <w:i w:val="0"/>
                  <w:iCs w:val="0"/>
                  <w:caps w:val="0"/>
                  <w:smallCaps w:val="0"/>
                  <w:strike w:val="0"/>
                  <w:dstrike w:val="0"/>
                  <w:noProof w:val="0"/>
                  <w:sz w:val="24"/>
                  <w:szCs w:val="24"/>
                  <w:lang w:val="en-US"/>
                </w:rPr>
                <w:t>https://study.com/academy/lesson/social-theories-of-aging-definitions-examples.html</w:t>
              </w:r>
            </w:hyperlink>
            <w:r w:rsidRPr="3C3D8861" w:rsidR="3363394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299B6B34" w:rsidP="3C3D8861" w:rsidRDefault="299B6B34" w14:paraId="4ECB7752" w14:textId="6E04D439">
            <w:pPr>
              <w:rPr>
                <w:rFonts w:ascii="Calibri" w:hAnsi="Calibri" w:eastAsia="Calibri" w:cs="Calibri"/>
                <w:b w:val="0"/>
                <w:bCs w:val="0"/>
                <w:i w:val="0"/>
                <w:iCs w:val="0"/>
                <w:caps w:val="0"/>
                <w:smallCaps w:val="0"/>
                <w:noProof w:val="0"/>
                <w:color w:val="000000" w:themeColor="text1" w:themeTint="FF" w:themeShade="FF"/>
                <w:sz w:val="24"/>
                <w:szCs w:val="24"/>
                <w:lang w:val="en-US"/>
              </w:rPr>
            </w:pPr>
            <w:hyperlink r:id="R7219d6a400da476f">
              <w:r w:rsidRPr="3C3D8861" w:rsidR="33633949">
                <w:rPr>
                  <w:rStyle w:val="Hyperlink"/>
                  <w:rFonts w:ascii="Calibri" w:hAnsi="Calibri" w:eastAsia="Calibri" w:cs="Calibri"/>
                  <w:b w:val="0"/>
                  <w:bCs w:val="0"/>
                  <w:i w:val="0"/>
                  <w:iCs w:val="0"/>
                  <w:caps w:val="0"/>
                  <w:smallCaps w:val="0"/>
                  <w:strike w:val="0"/>
                  <w:dstrike w:val="0"/>
                  <w:noProof w:val="0"/>
                  <w:sz w:val="24"/>
                  <w:szCs w:val="24"/>
                  <w:lang w:val="en-US"/>
                </w:rPr>
                <w:t>https://health.howstuffworks.com/wellness/aging/elder-care/disengagement-theory.htm</w:t>
              </w:r>
            </w:hyperlink>
            <w:r w:rsidRPr="3C3D8861" w:rsidR="3363394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299B6B34" w:rsidP="3C3D8861" w:rsidRDefault="299B6B34" w14:paraId="420620DA" w14:textId="6F8D5AA0">
            <w:pPr>
              <w:rPr>
                <w:rFonts w:ascii="Calibri" w:hAnsi="Calibri" w:eastAsia="Calibri" w:cs="Calibri"/>
                <w:b w:val="0"/>
                <w:bCs w:val="0"/>
                <w:i w:val="0"/>
                <w:iCs w:val="0"/>
                <w:caps w:val="0"/>
                <w:smallCaps w:val="0"/>
                <w:noProof w:val="0"/>
                <w:color w:val="000000" w:themeColor="text1" w:themeTint="FF" w:themeShade="FF"/>
                <w:sz w:val="24"/>
                <w:szCs w:val="24"/>
                <w:lang w:val="en-US"/>
              </w:rPr>
            </w:pPr>
            <w:hyperlink r:id="Rf8eddf66287f4973">
              <w:r w:rsidRPr="3C3D8861" w:rsidR="33633949">
                <w:rPr>
                  <w:rStyle w:val="Hyperlink"/>
                  <w:rFonts w:ascii="Calibri" w:hAnsi="Calibri" w:eastAsia="Calibri" w:cs="Calibri"/>
                  <w:b w:val="0"/>
                  <w:bCs w:val="0"/>
                  <w:i w:val="0"/>
                  <w:iCs w:val="0"/>
                  <w:caps w:val="0"/>
                  <w:smallCaps w:val="0"/>
                  <w:strike w:val="0"/>
                  <w:dstrike w:val="0"/>
                  <w:noProof w:val="0"/>
                  <w:sz w:val="24"/>
                  <w:szCs w:val="24"/>
                  <w:lang w:val="en-US"/>
                </w:rPr>
                <w:t>https://www.bbc.co.uk/news/education-12324231</w:t>
              </w:r>
            </w:hyperlink>
            <w:r w:rsidRPr="3C3D8861" w:rsidR="3363394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299B6B34" w:rsidP="3C3D8861" w:rsidRDefault="299B6B34" w14:paraId="43F970B8" w14:textId="525822AC">
            <w:pPr>
              <w:rPr>
                <w:rFonts w:ascii="Calibri" w:hAnsi="Calibri" w:eastAsia="Calibri" w:cs="Calibri"/>
                <w:b w:val="0"/>
                <w:bCs w:val="0"/>
                <w:i w:val="0"/>
                <w:iCs w:val="0"/>
                <w:caps w:val="0"/>
                <w:smallCaps w:val="0"/>
                <w:noProof w:val="0"/>
                <w:color w:val="000000" w:themeColor="text1" w:themeTint="FF" w:themeShade="FF"/>
                <w:sz w:val="24"/>
                <w:szCs w:val="24"/>
                <w:lang w:val="en-US"/>
              </w:rPr>
            </w:pPr>
            <w:hyperlink r:id="R465e1c1ef2de4d9c">
              <w:r w:rsidRPr="3C3D8861" w:rsidR="33633949">
                <w:rPr>
                  <w:rStyle w:val="Hyperlink"/>
                  <w:rFonts w:ascii="Calibri" w:hAnsi="Calibri" w:eastAsia="Calibri" w:cs="Calibri"/>
                  <w:b w:val="0"/>
                  <w:bCs w:val="0"/>
                  <w:i w:val="0"/>
                  <w:iCs w:val="0"/>
                  <w:caps w:val="0"/>
                  <w:smallCaps w:val="0"/>
                  <w:strike w:val="0"/>
                  <w:dstrike w:val="0"/>
                  <w:noProof w:val="0"/>
                  <w:sz w:val="24"/>
                  <w:szCs w:val="24"/>
                  <w:lang w:val="en-US"/>
                </w:rPr>
                <w:t>https://www.theguardian.com/society/series/ageing-population</w:t>
              </w:r>
            </w:hyperlink>
            <w:r w:rsidRPr="3C3D8861" w:rsidR="3363394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299B6B34" w:rsidP="3C3D8861" w:rsidRDefault="299B6B34" w14:paraId="1F8B6D5E" w14:textId="4F4CF948">
            <w:pPr>
              <w:rPr>
                <w:rFonts w:ascii="Calibri" w:hAnsi="Calibri" w:eastAsia="Calibri" w:cs="Calibri"/>
                <w:b w:val="0"/>
                <w:bCs w:val="0"/>
                <w:i w:val="0"/>
                <w:iCs w:val="0"/>
                <w:caps w:val="0"/>
                <w:smallCaps w:val="0"/>
                <w:noProof w:val="0"/>
                <w:color w:val="000000" w:themeColor="text1" w:themeTint="FF" w:themeShade="FF"/>
                <w:sz w:val="24"/>
                <w:szCs w:val="24"/>
                <w:lang w:val="en-US"/>
              </w:rPr>
            </w:pPr>
            <w:hyperlink r:id="Rd1f4e89e0ecf43c9">
              <w:r w:rsidRPr="3C3D8861" w:rsidR="33633949">
                <w:rPr>
                  <w:rStyle w:val="Hyperlink"/>
                  <w:rFonts w:ascii="Calibri" w:hAnsi="Calibri" w:eastAsia="Calibri" w:cs="Calibri"/>
                  <w:b w:val="0"/>
                  <w:bCs w:val="0"/>
                  <w:i w:val="0"/>
                  <w:iCs w:val="0"/>
                  <w:caps w:val="0"/>
                  <w:smallCaps w:val="0"/>
                  <w:strike w:val="0"/>
                  <w:dstrike w:val="0"/>
                  <w:noProof w:val="0"/>
                  <w:sz w:val="24"/>
                  <w:szCs w:val="24"/>
                  <w:lang w:val="en-US"/>
                </w:rPr>
                <w:t>https://www.pearsonschoolsandfecolleges.co.uk/FEAndVocational/HealthAndSocialCare/BTEC/BTECNationalsHealthandSocialCare2016/Samples/Student-Book-1/BTEC-National-in-Health-and-Social-Care-Unit-01-web-ready.pdf</w:t>
              </w:r>
            </w:hyperlink>
          </w:p>
          <w:p w:rsidR="299B6B34" w:rsidP="3C3D8861" w:rsidRDefault="299B6B34" w14:paraId="72DA5E4B" w14:textId="5AD84FF9">
            <w:pPr>
              <w:pStyle w:val="Normal"/>
              <w:rPr>
                <w:b w:val="1"/>
                <w:bCs w:val="1"/>
              </w:rPr>
            </w:pPr>
          </w:p>
        </w:tc>
      </w:tr>
      <w:tr w:rsidR="0CED7E62" w:rsidTr="3C3D8861" w14:paraId="60CFABC1" w14:textId="77777777">
        <w:trPr>
          <w:trHeight w:val="300"/>
        </w:trPr>
        <w:tc>
          <w:tcPr>
            <w:tcW w:w="9005" w:type="dxa"/>
            <w:shd w:val="clear" w:color="auto" w:fill="E7E6E6" w:themeFill="background2"/>
            <w:tcMar/>
          </w:tcPr>
          <w:p w:rsidR="356573B1" w:rsidP="0CED7E62" w:rsidRDefault="356573B1" w14:paraId="5EF996D4" w14:textId="09219E39">
            <w:pPr>
              <w:rPr>
                <w:b/>
                <w:bCs/>
              </w:rPr>
            </w:pPr>
            <w:r w:rsidRPr="0CED7E62">
              <w:rPr>
                <w:b/>
                <w:bCs/>
              </w:rPr>
              <w:t>Optional Extra tasks:</w:t>
            </w:r>
          </w:p>
        </w:tc>
      </w:tr>
      <w:tr w:rsidR="7073FDE1" w:rsidTr="3C3D8861" w14:paraId="56C47FE9">
        <w:trPr>
          <w:trHeight w:val="300"/>
        </w:trPr>
        <w:tc>
          <w:tcPr>
            <w:tcW w:w="9005" w:type="dxa"/>
            <w:shd w:val="clear" w:color="auto" w:fill="FFFFFF" w:themeFill="background1"/>
            <w:tcMar/>
          </w:tcPr>
          <w:p w:rsidR="7BE02F86" w:rsidP="7073FDE1" w:rsidRDefault="7BE02F86" w14:paraId="4B763A92" w14:textId="2FE07FC7">
            <w:pPr>
              <w:pStyle w:val="Normal"/>
              <w:rPr>
                <w:rFonts w:ascii="Calibri" w:hAnsi="Calibri" w:eastAsia="Calibri" w:cs="Calibri"/>
                <w:noProof w:val="0"/>
                <w:sz w:val="22"/>
                <w:szCs w:val="22"/>
                <w:lang w:val="en-US"/>
              </w:rPr>
            </w:pPr>
            <w:r w:rsidRPr="3C3D8861" w:rsidR="7BE02F86">
              <w:rPr>
                <w:rFonts w:ascii="Calibri" w:hAnsi="Calibri" w:eastAsia="Calibri" w:cs="Calibri"/>
                <w:noProof w:val="0"/>
                <w:sz w:val="22"/>
                <w:szCs w:val="22"/>
                <w:lang w:val="en-US"/>
              </w:rPr>
              <w:t>Complete one of the free open learn courses</w:t>
            </w:r>
            <w:r w:rsidRPr="3C3D8861" w:rsidR="4BF2E146">
              <w:rPr>
                <w:rFonts w:ascii="Calibri" w:hAnsi="Calibri" w:eastAsia="Calibri" w:cs="Calibri"/>
                <w:noProof w:val="0"/>
                <w:sz w:val="22"/>
                <w:szCs w:val="22"/>
                <w:lang w:val="en-US"/>
              </w:rPr>
              <w:t>, you will need to register on the website</w:t>
            </w:r>
            <w:r w:rsidRPr="3C3D8861" w:rsidR="7BE02F86">
              <w:rPr>
                <w:rFonts w:ascii="Calibri" w:hAnsi="Calibri" w:eastAsia="Calibri" w:cs="Calibri"/>
                <w:noProof w:val="0"/>
                <w:sz w:val="22"/>
                <w:szCs w:val="22"/>
                <w:lang w:val="en-US"/>
              </w:rPr>
              <w:t xml:space="preserve"> and </w:t>
            </w:r>
            <w:r w:rsidRPr="3C3D8861" w:rsidR="7BE02F86">
              <w:rPr>
                <w:rFonts w:ascii="Calibri" w:hAnsi="Calibri" w:eastAsia="Calibri" w:cs="Calibri"/>
                <w:noProof w:val="0"/>
                <w:sz w:val="22"/>
                <w:szCs w:val="22"/>
                <w:lang w:val="en-US"/>
              </w:rPr>
              <w:t>don’t</w:t>
            </w:r>
            <w:r w:rsidRPr="3C3D8861" w:rsidR="7BE02F86">
              <w:rPr>
                <w:rFonts w:ascii="Calibri" w:hAnsi="Calibri" w:eastAsia="Calibri" w:cs="Calibri"/>
                <w:noProof w:val="0"/>
                <w:sz w:val="22"/>
                <w:szCs w:val="22"/>
                <w:lang w:val="en-US"/>
              </w:rPr>
              <w:t xml:space="preserve"> forget to print off your certificate of completion!</w:t>
            </w:r>
          </w:p>
          <w:p w:rsidR="74B8F684" w:rsidP="3C3D8861" w:rsidRDefault="74B8F684" w14:paraId="39A16176" w14:textId="69705F8F">
            <w:pPr>
              <w:pStyle w:val="Normal"/>
              <w:rPr>
                <w:rFonts w:ascii="Calibri" w:hAnsi="Calibri" w:eastAsia="Calibri" w:cs="Calibri"/>
                <w:noProof w:val="0"/>
                <w:sz w:val="22"/>
                <w:szCs w:val="22"/>
                <w:lang w:val="en-US"/>
              </w:rPr>
            </w:pPr>
            <w:hyperlink r:id="R62a038a822d44d35">
              <w:r w:rsidRPr="3C3D8861" w:rsidR="74B8F684">
                <w:rPr>
                  <w:rStyle w:val="Hyperlink"/>
                  <w:rFonts w:ascii="Calibri" w:hAnsi="Calibri" w:eastAsia="Calibri" w:cs="Calibri"/>
                  <w:noProof w:val="0"/>
                  <w:sz w:val="22"/>
                  <w:szCs w:val="22"/>
                  <w:lang w:val="en-US"/>
                </w:rPr>
                <w:t>So, you want to be a nurse? A brief introduction to nursing: 3 Understanding your own values and values in nursing | OpenLearn - Open University</w:t>
              </w:r>
            </w:hyperlink>
          </w:p>
          <w:p w:rsidR="7073FDE1" w:rsidP="7073FDE1" w:rsidRDefault="7073FDE1" w14:paraId="6C3BF2FE" w14:textId="21ACF9DC">
            <w:pPr>
              <w:pStyle w:val="Normal"/>
              <w:rPr>
                <w:rFonts w:ascii="Calibri" w:hAnsi="Calibri" w:eastAsia="Calibri" w:cs="Calibri"/>
                <w:noProof w:val="0"/>
                <w:sz w:val="22"/>
                <w:szCs w:val="22"/>
                <w:lang w:val="en-US"/>
              </w:rPr>
            </w:pPr>
          </w:p>
          <w:p w:rsidR="7073FDE1" w:rsidP="7073FDE1" w:rsidRDefault="7073FDE1" w14:paraId="135D2302" w14:textId="1239BD09">
            <w:pPr>
              <w:pStyle w:val="Normal"/>
              <w:rPr>
                <w:rFonts w:ascii="Calibri" w:hAnsi="Calibri" w:eastAsia="Calibri" w:cs="Calibri"/>
                <w:noProof w:val="0"/>
                <w:sz w:val="22"/>
                <w:szCs w:val="22"/>
                <w:lang w:val="en-US"/>
              </w:rPr>
            </w:pPr>
            <w:hyperlink r:id="R91021eac84c14596">
              <w:r w:rsidRPr="3C3D8861" w:rsidR="74B8F684">
                <w:rPr>
                  <w:rStyle w:val="Hyperlink"/>
                  <w:rFonts w:ascii="Calibri" w:hAnsi="Calibri" w:eastAsia="Calibri" w:cs="Calibri"/>
                  <w:noProof w:val="0"/>
                  <w:sz w:val="22"/>
                  <w:szCs w:val="22"/>
                  <w:lang w:val="en-US"/>
                </w:rPr>
                <w:t>Supporting older people with learning disabilities and their families | OpenLearn - Open University</w:t>
              </w:r>
            </w:hyperlink>
          </w:p>
          <w:p w:rsidR="3C3D8861" w:rsidP="3C3D8861" w:rsidRDefault="3C3D8861" w14:paraId="1665A9E5" w14:textId="26507586">
            <w:pPr>
              <w:pStyle w:val="Normal"/>
              <w:rPr>
                <w:rFonts w:ascii="Calibri" w:hAnsi="Calibri" w:eastAsia="Calibri" w:cs="Calibri"/>
                <w:noProof w:val="0"/>
                <w:sz w:val="22"/>
                <w:szCs w:val="22"/>
                <w:lang w:val="en-US"/>
              </w:rPr>
            </w:pPr>
          </w:p>
          <w:p w:rsidR="74B8F684" w:rsidP="3C3D8861" w:rsidRDefault="74B8F684" w14:paraId="00F39500" w14:textId="4DF652D7">
            <w:pPr>
              <w:pStyle w:val="Normal"/>
              <w:rPr>
                <w:rFonts w:ascii="Calibri" w:hAnsi="Calibri" w:eastAsia="Calibri" w:cs="Calibri"/>
                <w:noProof w:val="0"/>
                <w:sz w:val="22"/>
                <w:szCs w:val="22"/>
                <w:lang w:val="en-US"/>
              </w:rPr>
            </w:pPr>
            <w:hyperlink r:id="R1c03a32adda746f0">
              <w:r w:rsidRPr="3C3D8861" w:rsidR="74B8F684">
                <w:rPr>
                  <w:rStyle w:val="Hyperlink"/>
                  <w:rFonts w:ascii="Calibri" w:hAnsi="Calibri" w:eastAsia="Calibri" w:cs="Calibri"/>
                  <w:noProof w:val="0"/>
                  <w:sz w:val="22"/>
                  <w:szCs w:val="22"/>
                  <w:lang w:val="en-US"/>
                </w:rPr>
                <w:t>Caring for an older family member with learning disabilities | OpenLearn - Open University</w:t>
              </w:r>
            </w:hyperlink>
          </w:p>
          <w:p w:rsidR="3C3D8861" w:rsidP="3C3D8861" w:rsidRDefault="3C3D8861" w14:paraId="01F4DB1E" w14:textId="1BBFE1E8">
            <w:pPr>
              <w:pStyle w:val="Normal"/>
              <w:rPr>
                <w:rFonts w:ascii="Calibri" w:hAnsi="Calibri" w:eastAsia="Calibri" w:cs="Calibri"/>
                <w:noProof w:val="0"/>
                <w:sz w:val="22"/>
                <w:szCs w:val="22"/>
                <w:lang w:val="en-US"/>
              </w:rPr>
            </w:pPr>
          </w:p>
          <w:p w:rsidR="74B8F684" w:rsidP="3C3D8861" w:rsidRDefault="74B8F684" w14:paraId="1F8628A0" w14:textId="6C859CA7">
            <w:pPr>
              <w:pStyle w:val="Normal"/>
              <w:rPr>
                <w:rFonts w:ascii="Calibri" w:hAnsi="Calibri" w:eastAsia="Calibri" w:cs="Calibri"/>
                <w:noProof w:val="0"/>
                <w:sz w:val="22"/>
                <w:szCs w:val="22"/>
                <w:lang w:val="en-US"/>
              </w:rPr>
            </w:pPr>
            <w:hyperlink r:id="R6090d769f4eb4cc2">
              <w:r w:rsidRPr="3C3D8861" w:rsidR="74B8F684">
                <w:rPr>
                  <w:rStyle w:val="Hyperlink"/>
                  <w:rFonts w:ascii="Calibri" w:hAnsi="Calibri" w:eastAsia="Calibri" w:cs="Calibri"/>
                  <w:noProof w:val="0"/>
                  <w:sz w:val="22"/>
                  <w:szCs w:val="22"/>
                  <w:lang w:val="en-US"/>
                </w:rPr>
                <w:t>An introduction to social work | OpenLearn - Open University</w:t>
              </w:r>
            </w:hyperlink>
          </w:p>
          <w:p w:rsidR="3C3D8861" w:rsidP="3C3D8861" w:rsidRDefault="3C3D8861" w14:paraId="33F7A647" w14:textId="1B1841EB">
            <w:pPr>
              <w:pStyle w:val="Normal"/>
              <w:rPr>
                <w:rFonts w:ascii="Calibri" w:hAnsi="Calibri" w:eastAsia="Calibri" w:cs="Calibri"/>
                <w:noProof w:val="0"/>
                <w:sz w:val="22"/>
                <w:szCs w:val="22"/>
                <w:lang w:val="en-US"/>
              </w:rPr>
            </w:pPr>
          </w:p>
          <w:p w:rsidR="74B8F684" w:rsidP="3C3D8861" w:rsidRDefault="74B8F684" w14:paraId="533329D1" w14:textId="1E6FF3BD">
            <w:pPr>
              <w:pStyle w:val="Normal"/>
              <w:rPr>
                <w:rFonts w:ascii="Calibri" w:hAnsi="Calibri" w:eastAsia="Calibri" w:cs="Calibri"/>
                <w:noProof w:val="0"/>
                <w:sz w:val="22"/>
                <w:szCs w:val="22"/>
                <w:lang w:val="en-US"/>
              </w:rPr>
            </w:pPr>
            <w:hyperlink r:id="Rd55d73350148448e">
              <w:r w:rsidRPr="3C3D8861" w:rsidR="74B8F684">
                <w:rPr>
                  <w:rStyle w:val="Hyperlink"/>
                  <w:rFonts w:ascii="Calibri" w:hAnsi="Calibri" w:eastAsia="Calibri" w:cs="Calibri"/>
                  <w:noProof w:val="0"/>
                  <w:sz w:val="22"/>
                  <w:szCs w:val="22"/>
                  <w:lang w:val="en-US"/>
                </w:rPr>
                <w:t>Accessibility and inclusion in digital health | OpenLearn - Open University</w:t>
              </w:r>
            </w:hyperlink>
          </w:p>
          <w:p w:rsidR="3C3D8861" w:rsidP="3C3D8861" w:rsidRDefault="3C3D8861" w14:paraId="75895BFD" w14:textId="78E7375F">
            <w:pPr>
              <w:pStyle w:val="Normal"/>
              <w:rPr>
                <w:rFonts w:ascii="Calibri" w:hAnsi="Calibri" w:eastAsia="Calibri" w:cs="Calibri"/>
                <w:noProof w:val="0"/>
                <w:sz w:val="22"/>
                <w:szCs w:val="22"/>
                <w:lang w:val="en-US"/>
              </w:rPr>
            </w:pPr>
          </w:p>
          <w:p w:rsidR="74B8F684" w:rsidP="3C3D8861" w:rsidRDefault="74B8F684" w14:paraId="684DF282" w14:textId="4D81E219">
            <w:pPr>
              <w:pStyle w:val="Normal"/>
              <w:rPr>
                <w:rFonts w:ascii="Calibri" w:hAnsi="Calibri" w:eastAsia="Calibri" w:cs="Calibri"/>
                <w:noProof w:val="0"/>
                <w:sz w:val="22"/>
                <w:szCs w:val="22"/>
                <w:lang w:val="en-US"/>
              </w:rPr>
            </w:pPr>
            <w:hyperlink r:id="Rc1fb25a6b3584041">
              <w:r w:rsidRPr="3C3D8861" w:rsidR="74B8F684">
                <w:rPr>
                  <w:rStyle w:val="Hyperlink"/>
                  <w:rFonts w:ascii="Calibri" w:hAnsi="Calibri" w:eastAsia="Calibri" w:cs="Calibri"/>
                  <w:noProof w:val="0"/>
                  <w:sz w:val="22"/>
                  <w:szCs w:val="22"/>
                  <w:lang w:val="en-US"/>
                </w:rPr>
                <w:t>Social media and networks in health and social care: 1 The internet | OpenLearn - Open University</w:t>
              </w:r>
            </w:hyperlink>
          </w:p>
          <w:p w:rsidR="3C3D8861" w:rsidP="3C3D8861" w:rsidRDefault="3C3D8861" w14:paraId="3252053E" w14:textId="2EA027B9">
            <w:pPr>
              <w:pStyle w:val="Normal"/>
              <w:rPr>
                <w:rFonts w:ascii="Calibri" w:hAnsi="Calibri" w:eastAsia="Calibri" w:cs="Calibri"/>
                <w:noProof w:val="0"/>
                <w:sz w:val="22"/>
                <w:szCs w:val="22"/>
                <w:lang w:val="en-US"/>
              </w:rPr>
            </w:pPr>
          </w:p>
          <w:p w:rsidR="74B8F684" w:rsidP="3C3D8861" w:rsidRDefault="74B8F684" w14:paraId="5560B4BB" w14:textId="7163D2E3">
            <w:pPr>
              <w:pStyle w:val="Normal"/>
              <w:rPr>
                <w:rFonts w:ascii="Calibri" w:hAnsi="Calibri" w:eastAsia="Calibri" w:cs="Calibri"/>
                <w:noProof w:val="0"/>
                <w:sz w:val="22"/>
                <w:szCs w:val="22"/>
                <w:lang w:val="en-US"/>
              </w:rPr>
            </w:pPr>
            <w:hyperlink r:id="R4f4a7ed05ebd4e54">
              <w:r w:rsidRPr="3C3D8861" w:rsidR="74B8F684">
                <w:rPr>
                  <w:rStyle w:val="Hyperlink"/>
                  <w:rFonts w:ascii="Calibri" w:hAnsi="Calibri" w:eastAsia="Calibri" w:cs="Calibri"/>
                  <w:noProof w:val="0"/>
                  <w:sz w:val="22"/>
                  <w:szCs w:val="22"/>
                  <w:lang w:val="en-US"/>
                </w:rPr>
                <w:t>Caring for adults | OpenLearn - Open University</w:t>
              </w:r>
            </w:hyperlink>
          </w:p>
          <w:p w:rsidR="3C3D8861" w:rsidP="3C3D8861" w:rsidRDefault="3C3D8861" w14:paraId="258F0A08" w14:textId="61D9FF2A">
            <w:pPr>
              <w:pStyle w:val="Normal"/>
              <w:rPr>
                <w:rFonts w:ascii="Calibri" w:hAnsi="Calibri" w:eastAsia="Calibri" w:cs="Calibri"/>
                <w:noProof w:val="0"/>
                <w:sz w:val="22"/>
                <w:szCs w:val="22"/>
                <w:lang w:val="en-US"/>
              </w:rPr>
            </w:pPr>
          </w:p>
          <w:p w:rsidR="74B8F684" w:rsidP="3C3D8861" w:rsidRDefault="74B8F684" w14:paraId="65ECA87E" w14:textId="2C72E2ED">
            <w:pPr>
              <w:pStyle w:val="Normal"/>
              <w:rPr>
                <w:rFonts w:ascii="Calibri" w:hAnsi="Calibri" w:eastAsia="Calibri" w:cs="Calibri"/>
                <w:noProof w:val="0"/>
                <w:sz w:val="22"/>
                <w:szCs w:val="22"/>
                <w:lang w:val="en-US"/>
              </w:rPr>
            </w:pPr>
            <w:hyperlink r:id="R3fa0bdef0f574505">
              <w:r w:rsidRPr="3C3D8861" w:rsidR="74B8F684">
                <w:rPr>
                  <w:rStyle w:val="Hyperlink"/>
                  <w:rFonts w:ascii="Calibri" w:hAnsi="Calibri" w:eastAsia="Calibri" w:cs="Calibri"/>
                  <w:noProof w:val="0"/>
                  <w:sz w:val="22"/>
                  <w:szCs w:val="22"/>
                  <w:lang w:val="en-US"/>
                </w:rPr>
                <w:t>Perspectives on social work: individual stories | OpenLearn - Open University</w:t>
              </w:r>
            </w:hyperlink>
          </w:p>
          <w:p w:rsidR="7073FDE1" w:rsidP="7073FDE1" w:rsidRDefault="7073FDE1" w14:paraId="5C76ABCC" w14:textId="1F61F832">
            <w:pPr>
              <w:pStyle w:val="Normal"/>
              <w:rPr>
                <w:rFonts w:ascii="Calibri" w:hAnsi="Calibri" w:eastAsia="Calibri" w:cs="Calibri"/>
                <w:noProof w:val="0"/>
                <w:sz w:val="22"/>
                <w:szCs w:val="22"/>
                <w:lang w:val="en-US"/>
              </w:rPr>
            </w:pPr>
          </w:p>
        </w:tc>
      </w:tr>
      <w:tr w:rsidR="0CED7E62" w:rsidTr="3C3D8861" w14:paraId="1580DCBE" w14:textId="77777777">
        <w:trPr>
          <w:trHeight w:val="300"/>
        </w:trPr>
        <w:tc>
          <w:tcPr>
            <w:tcW w:w="9005" w:type="dxa"/>
            <w:tcMar/>
          </w:tcPr>
          <w:p w:rsidR="16794854" w:rsidP="1561B188" w:rsidRDefault="16794854" w14:paraId="07AA0FA6" w14:textId="588760E3">
            <w:pPr>
              <w:pStyle w:val="Normal"/>
              <w:rPr>
                <w:b w:val="1"/>
                <w:bCs w:val="1"/>
              </w:rPr>
            </w:pPr>
            <w:r w:rsidRPr="3C3D8861" w:rsidR="2E5D1E4F">
              <w:rPr>
                <w:b w:val="1"/>
                <w:bCs w:val="1"/>
              </w:rPr>
              <w:t xml:space="preserve">Prepare a folder (A4 lever arch) </w:t>
            </w:r>
          </w:p>
          <w:p w:rsidR="16794854" w:rsidP="1561B188" w:rsidRDefault="16794854" w14:paraId="703A0B61" w14:textId="4A0C7C89">
            <w:pPr>
              <w:pStyle w:val="Normal"/>
              <w:rPr>
                <w:b w:val="1"/>
                <w:bCs w:val="1"/>
              </w:rPr>
            </w:pPr>
            <w:r w:rsidRPr="1561B188" w:rsidR="2E5D1E4F">
              <w:rPr>
                <w:b w:val="1"/>
                <w:bCs w:val="1"/>
              </w:rPr>
              <w:t>You will need the following in your folder to support a smooth start to Y12:</w:t>
            </w:r>
          </w:p>
          <w:p w:rsidR="16794854" w:rsidP="1561B188" w:rsidRDefault="16794854" w14:paraId="598F3C42" w14:textId="78FD7783">
            <w:pPr>
              <w:pStyle w:val="ListParagraph"/>
              <w:numPr>
                <w:ilvl w:val="0"/>
                <w:numId w:val="1"/>
              </w:numPr>
              <w:rPr>
                <w:b w:val="1"/>
                <w:bCs w:val="1"/>
              </w:rPr>
            </w:pPr>
            <w:r w:rsidRPr="1561B188" w:rsidR="2E5D1E4F">
              <w:rPr>
                <w:b w:val="1"/>
                <w:bCs w:val="1"/>
              </w:rPr>
              <w:t>Dividers</w:t>
            </w:r>
          </w:p>
          <w:p w:rsidR="16794854" w:rsidP="1561B188" w:rsidRDefault="16794854" w14:paraId="3A9F8BD2" w14:textId="5453D013">
            <w:pPr>
              <w:pStyle w:val="ListParagraph"/>
              <w:numPr>
                <w:ilvl w:val="0"/>
                <w:numId w:val="1"/>
              </w:numPr>
              <w:rPr>
                <w:b w:val="1"/>
                <w:bCs w:val="1"/>
              </w:rPr>
            </w:pPr>
            <w:r w:rsidRPr="1561B188" w:rsidR="2E5D1E4F">
              <w:rPr>
                <w:b w:val="1"/>
                <w:bCs w:val="1"/>
              </w:rPr>
              <w:t>Plastic wallets</w:t>
            </w:r>
          </w:p>
          <w:p w:rsidR="16794854" w:rsidP="1561B188" w:rsidRDefault="16794854" w14:paraId="79791290" w14:textId="41771AAD">
            <w:pPr>
              <w:pStyle w:val="ListParagraph"/>
              <w:numPr>
                <w:ilvl w:val="0"/>
                <w:numId w:val="1"/>
              </w:numPr>
              <w:rPr>
                <w:b w:val="1"/>
                <w:bCs w:val="1"/>
              </w:rPr>
            </w:pPr>
            <w:r w:rsidRPr="1561B188" w:rsidR="2E5D1E4F">
              <w:rPr>
                <w:b w:val="1"/>
                <w:bCs w:val="1"/>
              </w:rPr>
              <w:t>Blank revision cards</w:t>
            </w:r>
          </w:p>
          <w:p w:rsidR="16794854" w:rsidP="1561B188" w:rsidRDefault="16794854" w14:paraId="60F422A8" w14:textId="5350901B">
            <w:pPr>
              <w:pStyle w:val="Normal"/>
              <w:ind w:left="0"/>
              <w:rPr>
                <w:b w:val="1"/>
                <w:bCs w:val="1"/>
              </w:rPr>
            </w:pPr>
            <w:r w:rsidRPr="1561B188" w:rsidR="508881E6">
              <w:rPr>
                <w:b w:val="1"/>
                <w:bCs w:val="1"/>
              </w:rPr>
              <w:t>You may also find punched plastic wallet pockets useful for storing revision cards (see image)</w:t>
            </w:r>
          </w:p>
          <w:p w:rsidR="16794854" w:rsidP="1561B188" w:rsidRDefault="16794854" w14:paraId="10D735B0" w14:textId="620F9CB0">
            <w:pPr>
              <w:pStyle w:val="Normal"/>
              <w:ind w:left="0"/>
              <w:rPr>
                <w:b w:val="1"/>
                <w:bCs w:val="1"/>
              </w:rPr>
            </w:pPr>
            <w:r w:rsidR="508881E6">
              <w:drawing>
                <wp:inline wp14:editId="7B992565" wp14:anchorId="51A51645">
                  <wp:extent cx="2038745" cy="2409426"/>
                  <wp:effectExtent l="0" t="0" r="0" b="0"/>
                  <wp:docPr id="29348132" name="" title=""/>
                  <wp:cNvGraphicFramePr>
                    <a:graphicFrameLocks noChangeAspect="1"/>
                  </wp:cNvGraphicFramePr>
                  <a:graphic>
                    <a:graphicData uri="http://schemas.openxmlformats.org/drawingml/2006/picture">
                      <pic:pic>
                        <pic:nvPicPr>
                          <pic:cNvPr id="0" name=""/>
                          <pic:cNvPicPr/>
                        </pic:nvPicPr>
                        <pic:blipFill>
                          <a:blip r:embed="R76ba0843229d45b6">
                            <a:extLst>
                              <a:ext xmlns:a="http://schemas.openxmlformats.org/drawingml/2006/main" uri="{28A0092B-C50C-407E-A947-70E740481C1C}">
                                <a14:useLocalDpi val="0"/>
                              </a:ext>
                            </a:extLst>
                          </a:blip>
                          <a:stretch>
                            <a:fillRect/>
                          </a:stretch>
                        </pic:blipFill>
                        <pic:spPr>
                          <a:xfrm>
                            <a:off x="0" y="0"/>
                            <a:ext cx="2038745" cy="2409426"/>
                          </a:xfrm>
                          <a:prstGeom prst="rect">
                            <a:avLst/>
                          </a:prstGeom>
                        </pic:spPr>
                      </pic:pic>
                    </a:graphicData>
                  </a:graphic>
                </wp:inline>
              </w:drawing>
            </w:r>
          </w:p>
        </w:tc>
      </w:tr>
      <w:tr w:rsidR="0CED7E62" w:rsidTr="3C3D8861" w14:paraId="363ADCFC" w14:textId="77777777">
        <w:trPr>
          <w:trHeight w:val="300"/>
        </w:trPr>
        <w:tc>
          <w:tcPr>
            <w:tcW w:w="9005" w:type="dxa"/>
            <w:shd w:val="clear" w:color="auto" w:fill="E7E6E6" w:themeFill="background2"/>
            <w:tcMar/>
          </w:tcPr>
          <w:p w:rsidR="06991F8B" w:rsidP="0CED7E62" w:rsidRDefault="06991F8B" w14:paraId="11827864" w14:textId="40C9120A">
            <w:pPr>
              <w:rPr>
                <w:b/>
                <w:bCs/>
              </w:rPr>
            </w:pPr>
            <w:r w:rsidRPr="0CED7E62">
              <w:rPr>
                <w:b/>
                <w:bCs/>
              </w:rPr>
              <w:t>How will this link to independent study tasks in September?</w:t>
            </w:r>
          </w:p>
        </w:tc>
      </w:tr>
      <w:tr w:rsidR="0CED7E62" w:rsidTr="3C3D8861" w14:paraId="39AD9DB7" w14:textId="77777777">
        <w:trPr>
          <w:trHeight w:val="300"/>
        </w:trPr>
        <w:tc>
          <w:tcPr>
            <w:tcW w:w="9005" w:type="dxa"/>
            <w:tcMar/>
          </w:tcPr>
          <w:p w:rsidR="2C386E2D" w:rsidP="3C3D8861" w:rsidRDefault="2C386E2D" w14:paraId="2043FBF3" w14:textId="186CB856">
            <w:pPr>
              <w:rPr>
                <w:b w:val="1"/>
                <w:bCs w:val="1"/>
              </w:rPr>
            </w:pPr>
            <w:r w:rsidRPr="3C3D8861" w:rsidR="7BF16178">
              <w:rPr>
                <w:b w:val="1"/>
                <w:bCs w:val="1"/>
              </w:rPr>
              <w:t xml:space="preserve">As part of independent study in September you will be expected to complete essay plans and exam questions. In addition to this, you will be expected to spend time revising key theories and then applying them </w:t>
            </w:r>
            <w:r w:rsidRPr="3C3D8861" w:rsidR="7BF16178">
              <w:rPr>
                <w:b w:val="1"/>
                <w:bCs w:val="1"/>
              </w:rPr>
              <w:t>to</w:t>
            </w:r>
            <w:r w:rsidRPr="3C3D8861" w:rsidR="7BF16178">
              <w:rPr>
                <w:b w:val="1"/>
                <w:bCs w:val="1"/>
              </w:rPr>
              <w:t xml:space="preserve"> novel </w:t>
            </w:r>
            <w:r w:rsidRPr="3C3D8861" w:rsidR="7BF16178">
              <w:rPr>
                <w:b w:val="1"/>
                <w:bCs w:val="1"/>
              </w:rPr>
              <w:t xml:space="preserve">scenarios. </w:t>
            </w:r>
          </w:p>
        </w:tc>
      </w:tr>
    </w:tbl>
    <w:p w:rsidR="2AD6E99E" w:rsidP="2AD6E99E" w:rsidRDefault="2AD6E99E" w14:paraId="40771FAF" w14:textId="5FE16F65"/>
    <w:sectPr w:rsidR="2AD6E99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xmlns:oel="http://schemas.microsoft.com/office/2019/extlst">
  <int2:observations>
    <int2:bookmark int2:bookmarkName="_Int_SXx71h05" int2:invalidationBookmarkName="" int2:hashCode="z0pCY4TC3NQMXh" int2:id="EGi1KrBG">
      <int2:state int2:value="Rejected" int2:type="AugLoop_Text_Critique"/>
    </int2:bookmark>
  </int2:observations>
  <int2:intelligenceSettings/>
  <int2:onDemandWorkflows/>
</int2:intelligence>
</file>

<file path=word/numbering.xml><?xml version="1.0" encoding="utf-8"?>
<w:numbering xmlns:w="http://schemas.openxmlformats.org/wordprocessingml/2006/main">
  <w:abstractNum xmlns:w="http://schemas.openxmlformats.org/wordprocessingml/2006/main" w:abstractNumId="1">
    <w:nsid w:val="1cd13f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F3898A"/>
    <w:rsid w:val="002C0356"/>
    <w:rsid w:val="003A71D4"/>
    <w:rsid w:val="01B516FF"/>
    <w:rsid w:val="024E83D9"/>
    <w:rsid w:val="04313014"/>
    <w:rsid w:val="0562B37E"/>
    <w:rsid w:val="05E47D1F"/>
    <w:rsid w:val="06991F8B"/>
    <w:rsid w:val="07D7D4CA"/>
    <w:rsid w:val="07F3898A"/>
    <w:rsid w:val="07F4A20C"/>
    <w:rsid w:val="08425562"/>
    <w:rsid w:val="087C049B"/>
    <w:rsid w:val="08C0AB33"/>
    <w:rsid w:val="0972C0BC"/>
    <w:rsid w:val="097F8F6C"/>
    <w:rsid w:val="0AF68104"/>
    <w:rsid w:val="0C886A8C"/>
    <w:rsid w:val="0CED7E62"/>
    <w:rsid w:val="0D024079"/>
    <w:rsid w:val="0E5DB039"/>
    <w:rsid w:val="0EA16C73"/>
    <w:rsid w:val="0F8134D6"/>
    <w:rsid w:val="11F108D8"/>
    <w:rsid w:val="132742BE"/>
    <w:rsid w:val="1561B188"/>
    <w:rsid w:val="1605ABD1"/>
    <w:rsid w:val="16794854"/>
    <w:rsid w:val="169736D2"/>
    <w:rsid w:val="1713DCD6"/>
    <w:rsid w:val="1834B48B"/>
    <w:rsid w:val="19972469"/>
    <w:rsid w:val="1A6B835E"/>
    <w:rsid w:val="1CFC9292"/>
    <w:rsid w:val="1D19C05D"/>
    <w:rsid w:val="1D481546"/>
    <w:rsid w:val="1D5E3B06"/>
    <w:rsid w:val="1D9B1FDE"/>
    <w:rsid w:val="1DA6120E"/>
    <w:rsid w:val="1DAC480D"/>
    <w:rsid w:val="1FEF0994"/>
    <w:rsid w:val="207FB608"/>
    <w:rsid w:val="21E77C80"/>
    <w:rsid w:val="2295591A"/>
    <w:rsid w:val="23B7168D"/>
    <w:rsid w:val="2441B4DE"/>
    <w:rsid w:val="24FADC19"/>
    <w:rsid w:val="24FD793A"/>
    <w:rsid w:val="251074DD"/>
    <w:rsid w:val="25432C88"/>
    <w:rsid w:val="25B6C886"/>
    <w:rsid w:val="264ECCD8"/>
    <w:rsid w:val="26B72576"/>
    <w:rsid w:val="284F41C8"/>
    <w:rsid w:val="28BFA9BD"/>
    <w:rsid w:val="28D60528"/>
    <w:rsid w:val="299B6B34"/>
    <w:rsid w:val="2AD6E99E"/>
    <w:rsid w:val="2C386E2D"/>
    <w:rsid w:val="2D6AA5F8"/>
    <w:rsid w:val="2E5D1E4F"/>
    <w:rsid w:val="2EAB9F0C"/>
    <w:rsid w:val="315A8B23"/>
    <w:rsid w:val="331B391A"/>
    <w:rsid w:val="3344BBA6"/>
    <w:rsid w:val="33633949"/>
    <w:rsid w:val="33B46A41"/>
    <w:rsid w:val="356573B1"/>
    <w:rsid w:val="35E27575"/>
    <w:rsid w:val="3784F09F"/>
    <w:rsid w:val="37996791"/>
    <w:rsid w:val="37BA31F3"/>
    <w:rsid w:val="37DFB5EC"/>
    <w:rsid w:val="383E6415"/>
    <w:rsid w:val="38551079"/>
    <w:rsid w:val="387845B3"/>
    <w:rsid w:val="3920C100"/>
    <w:rsid w:val="39CE90E5"/>
    <w:rsid w:val="3B152B9F"/>
    <w:rsid w:val="3BF094F5"/>
    <w:rsid w:val="3C3D8861"/>
    <w:rsid w:val="3CB3270F"/>
    <w:rsid w:val="3DCC672A"/>
    <w:rsid w:val="3EF2D26B"/>
    <w:rsid w:val="3F0A57EF"/>
    <w:rsid w:val="4043A1BC"/>
    <w:rsid w:val="41B7BEDB"/>
    <w:rsid w:val="435F5F27"/>
    <w:rsid w:val="45FD42A7"/>
    <w:rsid w:val="466B1B3C"/>
    <w:rsid w:val="467ED930"/>
    <w:rsid w:val="46D5E0AB"/>
    <w:rsid w:val="48E99CA9"/>
    <w:rsid w:val="4A470836"/>
    <w:rsid w:val="4A48F89B"/>
    <w:rsid w:val="4AD08474"/>
    <w:rsid w:val="4ADAA2B1"/>
    <w:rsid w:val="4BCFB29A"/>
    <w:rsid w:val="4BF2E146"/>
    <w:rsid w:val="4CEE1AB4"/>
    <w:rsid w:val="4DA3E56F"/>
    <w:rsid w:val="508881E6"/>
    <w:rsid w:val="514CDDD8"/>
    <w:rsid w:val="51AA09F8"/>
    <w:rsid w:val="51ABEBED"/>
    <w:rsid w:val="5275869F"/>
    <w:rsid w:val="52CD7583"/>
    <w:rsid w:val="53A30D73"/>
    <w:rsid w:val="547F7229"/>
    <w:rsid w:val="55C5AF29"/>
    <w:rsid w:val="55E08A8B"/>
    <w:rsid w:val="566A1431"/>
    <w:rsid w:val="56E59376"/>
    <w:rsid w:val="571F8F1B"/>
    <w:rsid w:val="574AC7B5"/>
    <w:rsid w:val="57957808"/>
    <w:rsid w:val="57A0E6A6"/>
    <w:rsid w:val="57BE3D15"/>
    <w:rsid w:val="583B8D1C"/>
    <w:rsid w:val="585B56C1"/>
    <w:rsid w:val="588A59DD"/>
    <w:rsid w:val="58E43AB5"/>
    <w:rsid w:val="595A0D76"/>
    <w:rsid w:val="59B4D19B"/>
    <w:rsid w:val="5A0457F4"/>
    <w:rsid w:val="5BD80051"/>
    <w:rsid w:val="5C531AA8"/>
    <w:rsid w:val="5C5D7D59"/>
    <w:rsid w:val="5D93072E"/>
    <w:rsid w:val="5DB723A0"/>
    <w:rsid w:val="5E4E2520"/>
    <w:rsid w:val="5F54BBE1"/>
    <w:rsid w:val="5F92D02E"/>
    <w:rsid w:val="5F93D1D2"/>
    <w:rsid w:val="60A2799A"/>
    <w:rsid w:val="612F0ABB"/>
    <w:rsid w:val="614CA219"/>
    <w:rsid w:val="62D2335B"/>
    <w:rsid w:val="644E1A98"/>
    <w:rsid w:val="65129A2D"/>
    <w:rsid w:val="6807A034"/>
    <w:rsid w:val="6AF3845F"/>
    <w:rsid w:val="6C87DE77"/>
    <w:rsid w:val="6D093690"/>
    <w:rsid w:val="6DB972DA"/>
    <w:rsid w:val="6EE8BFD1"/>
    <w:rsid w:val="6FBDA003"/>
    <w:rsid w:val="7073FDE1"/>
    <w:rsid w:val="70C6C132"/>
    <w:rsid w:val="717D341C"/>
    <w:rsid w:val="72307288"/>
    <w:rsid w:val="72D05B87"/>
    <w:rsid w:val="72E06D7C"/>
    <w:rsid w:val="734F51CC"/>
    <w:rsid w:val="74B8F684"/>
    <w:rsid w:val="75580155"/>
    <w:rsid w:val="7632E4E6"/>
    <w:rsid w:val="764565CF"/>
    <w:rsid w:val="764A6554"/>
    <w:rsid w:val="77A3CCAA"/>
    <w:rsid w:val="78ACA1FD"/>
    <w:rsid w:val="791F83D5"/>
    <w:rsid w:val="7978B51B"/>
    <w:rsid w:val="7A261E86"/>
    <w:rsid w:val="7A2A70D4"/>
    <w:rsid w:val="7A80E48A"/>
    <w:rsid w:val="7AA562BA"/>
    <w:rsid w:val="7B45B573"/>
    <w:rsid w:val="7BE02F86"/>
    <w:rsid w:val="7BE442BF"/>
    <w:rsid w:val="7BF16178"/>
    <w:rsid w:val="7C4FB480"/>
    <w:rsid w:val="7E4472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898A"/>
  <w15:chartTrackingRefBased/>
  <w15:docId w15:val="{F2681612-CB84-43C9-A85F-DBEEE5C7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microsoft.com/office/2020/10/relationships/intelligence" Target="intelligence2.xml" Id="rId9" /><Relationship Type="http://schemas.openxmlformats.org/officeDocument/2006/relationships/image" Target="/media/image.png" Id="R76ba0843229d45b6" /><Relationship Type="http://schemas.openxmlformats.org/officeDocument/2006/relationships/numbering" Target="numbering.xml" Id="R251f49a8148a4ca6" /><Relationship Type="http://schemas.openxmlformats.org/officeDocument/2006/relationships/hyperlink" Target="https://study.com/academy/lesson/social-theories-of-aging-definitions-examples.html" TargetMode="External" Id="R4fce629869d74bc7" /><Relationship Type="http://schemas.openxmlformats.org/officeDocument/2006/relationships/hyperlink" Target="https://health.howstuffworks.com/wellness/aging/elder-care/disengagement-theory.htm" TargetMode="External" Id="R7219d6a400da476f" /><Relationship Type="http://schemas.openxmlformats.org/officeDocument/2006/relationships/hyperlink" Target="https://www.bbc.co.uk/news/education-12324231" TargetMode="External" Id="Rf8eddf66287f4973" /><Relationship Type="http://schemas.openxmlformats.org/officeDocument/2006/relationships/hyperlink" Target="https://www.theguardian.com/society/series/ageing-population" TargetMode="External" Id="R465e1c1ef2de4d9c" /><Relationship Type="http://schemas.openxmlformats.org/officeDocument/2006/relationships/hyperlink" Target="https://www.pearsonschoolsandfecolleges.co.uk/FEAndVocational/HealthAndSocialCare/BTEC/BTECNationalsHealthandSocialCare2016/Samples/Student-Book-1/BTEC-National-in-Health-and-Social-Care-Unit-01-web-ready.pdf" TargetMode="External" Id="Rd1f4e89e0ecf43c9" /><Relationship Type="http://schemas.openxmlformats.org/officeDocument/2006/relationships/hyperlink" Target="https://www.open.edu/openlearn/health-sports-psychology/so-you-want-be-nurse-a-brief-introduction-nursing/content-section-3" TargetMode="External" Id="R62a038a822d44d35" /><Relationship Type="http://schemas.openxmlformats.org/officeDocument/2006/relationships/hyperlink" Target="https://www.open.edu/openlearn/health-sports-psychology/supporting-older-people-learning-disabilities-and-their-families/content-section-overview?active-tab=description-tab" TargetMode="External" Id="R91021eac84c14596" /><Relationship Type="http://schemas.openxmlformats.org/officeDocument/2006/relationships/hyperlink" Target="https://www.open.edu/openlearn/health-sports-psychology/caring-older-family-member-learning-disabilities/content-section-overview?active-tab=description-tab" TargetMode="External" Id="R1c03a32adda746f0" /><Relationship Type="http://schemas.openxmlformats.org/officeDocument/2006/relationships/hyperlink" Target="https://www.open.edu/openlearn/health-sports-psychology/social-care-social-work/an-introduction-social-work/content-section-0?active-tab=description-tab" TargetMode="External" Id="R6090d769f4eb4cc2" /><Relationship Type="http://schemas.openxmlformats.org/officeDocument/2006/relationships/hyperlink" Target="https://www.open.edu/openlearn/health-sports-psychology/accessibility-and-inclusion-digital-health/content-section-0?active-tab=description-tab" TargetMode="External" Id="Rd55d73350148448e" /><Relationship Type="http://schemas.openxmlformats.org/officeDocument/2006/relationships/hyperlink" Target="https://www.open.edu/openlearn/health-sports-psychology/social-media-and-networks-health-and-social-care/content-section-1" TargetMode="External" Id="Rc1fb25a6b3584041" /><Relationship Type="http://schemas.openxmlformats.org/officeDocument/2006/relationships/hyperlink" Target="https://www.open.edu/openlearn/health-sports-psychology/social-care-social-work/caring-adults/content-section-overview?active-tab=description-tab" TargetMode="External" Id="R4f4a7ed05ebd4e54" /><Relationship Type="http://schemas.openxmlformats.org/officeDocument/2006/relationships/hyperlink" Target="https://www.open.edu/openlearn/health-sports-psychology/social-care-social-work/perspectives-on-social-work-individual-stories/content-section-0?active-tab=description-tab" TargetMode="External" Id="R3fa0bdef0f57450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86C6DA1E692949AF0D709B95CD0A07" ma:contentTypeVersion="17" ma:contentTypeDescription="Create a new document." ma:contentTypeScope="" ma:versionID="74c2bdca6f4d0f42c181a7ed1f3bbda9">
  <xsd:schema xmlns:xsd="http://www.w3.org/2001/XMLSchema" xmlns:xs="http://www.w3.org/2001/XMLSchema" xmlns:p="http://schemas.microsoft.com/office/2006/metadata/properties" xmlns:ns2="bac1f910-0164-47bc-bd9d-9f6172a40c59" xmlns:ns3="f25c0121-6662-42a3-96e7-c594bb4bf17a" targetNamespace="http://schemas.microsoft.com/office/2006/metadata/properties" ma:root="true" ma:fieldsID="e07068ac6371713ba2f67a2cc67a8f4f" ns2:_="" ns3:_="">
    <xsd:import namespace="bac1f910-0164-47bc-bd9d-9f6172a40c59"/>
    <xsd:import namespace="f25c0121-6662-42a3-96e7-c594bb4bf1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1f910-0164-47bc-bd9d-9f6172a40c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6431fce-6c72-48bf-ad5b-fc187a6e4a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5c0121-6662-42a3-96e7-c594bb4bf17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44c67ef-9594-4fda-81d5-51fe8b3652fa}" ma:internalName="TaxCatchAll" ma:showField="CatchAllData" ma:web="f25c0121-6662-42a3-96e7-c594bb4bf1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c1f910-0164-47bc-bd9d-9f6172a40c59">
      <Terms xmlns="http://schemas.microsoft.com/office/infopath/2007/PartnerControls"/>
    </lcf76f155ced4ddcb4097134ff3c332f>
    <TaxCatchAll xmlns="f25c0121-6662-42a3-96e7-c594bb4bf17a" xsi:nil="true"/>
  </documentManagement>
</p:properties>
</file>

<file path=customXml/itemProps1.xml><?xml version="1.0" encoding="utf-8"?>
<ds:datastoreItem xmlns:ds="http://schemas.openxmlformats.org/officeDocument/2006/customXml" ds:itemID="{469C3FC8-EB98-43BB-9586-C7F51BD22EF3}"/>
</file>

<file path=customXml/itemProps2.xml><?xml version="1.0" encoding="utf-8"?>
<ds:datastoreItem xmlns:ds="http://schemas.openxmlformats.org/officeDocument/2006/customXml" ds:itemID="{4EEAE1AA-9DE2-41C7-8EBF-9AC27BB88E22}">
  <ds:schemaRefs>
    <ds:schemaRef ds:uri="http://schemas.microsoft.com/sharepoint/v3/contenttype/forms"/>
  </ds:schemaRefs>
</ds:datastoreItem>
</file>

<file path=customXml/itemProps3.xml><?xml version="1.0" encoding="utf-8"?>
<ds:datastoreItem xmlns:ds="http://schemas.openxmlformats.org/officeDocument/2006/customXml" ds:itemID="{98CF155F-9FC9-40BD-8C1C-6D6EBAA9CD50}">
  <ds:schemaRef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d52b265f-2609-4510-8896-d741b4a72ad7"/>
    <ds:schemaRef ds:uri="http://purl.org/dc/dcmitype/"/>
    <ds:schemaRef ds:uri="1ffd3025-6740-41e6-b423-db9de1e981c9"/>
    <ds:schemaRef ds:uri="http://schemas.microsoft.com/office/infopath/2007/PartnerControls"/>
    <ds:schemaRef ds:uri="http://www.w3.org/XML/1998/namespac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 Wain</dc:creator>
  <keywords/>
  <dc:description/>
  <lastModifiedBy>N Preston</lastModifiedBy>
  <revision>6</revision>
  <dcterms:created xsi:type="dcterms:W3CDTF">2024-04-18T11:14:00.0000000Z</dcterms:created>
  <dcterms:modified xsi:type="dcterms:W3CDTF">2024-06-04T09:32:59.8019680Z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0x010100DB86C6DA1E692949AF0D709B95CD0A07</vt:lpwstr>
  </property>
  <property fmtid="{D5CDD505-2E9C-101B-9397-08002B2CF9AE}" pid="3" name="MediaServiceImageTags">
    <vt:lpwstr/>
  </property>
</Properties>
</file>